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101-e</w:t>
      </w:r>
      <w:r>
        <w:rPr>
          <w:rFonts w:ascii="Arial" w:hAnsi="Arial" w:eastAsia="MS Mincho"/>
          <w:b/>
          <w:sz w:val="24"/>
        </w:rPr>
        <w:tab/>
      </w:r>
      <w:r>
        <w:rPr>
          <w:rFonts w:ascii="Arial" w:hAnsi="Arial"/>
          <w:b/>
          <w:sz w:val="24"/>
          <w:lang w:eastAsia="zh-CN"/>
        </w:rPr>
        <w:t>R4-</w:t>
      </w:r>
      <w:r>
        <w:rPr>
          <w:rFonts w:hint="eastAsia" w:ascii="Arial" w:hAnsi="Arial"/>
          <w:b/>
          <w:sz w:val="24"/>
          <w:lang w:eastAsia="zh-CN"/>
        </w:rPr>
        <w:t>2118430</w:t>
      </w:r>
      <w:bookmarkStart w:id="2" w:name="_GoBack"/>
      <w:bookmarkEnd w:id="2"/>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szCs w:val="24"/>
          <w:lang w:eastAsia="zh-CN"/>
        </w:rPr>
        <w:t>Electronic Meeting, November 01-12,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MS Mincho"/>
          <w:b/>
          <w:sz w:val="24"/>
          <w:lang w:eastAsia="zh-CN"/>
        </w:rPr>
        <w:t>Discussion on PDSCH requirements for CA scenarios</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sz w:val="24"/>
          <w:lang w:val="en-US" w:eastAsia="zh-CN"/>
        </w:rPr>
        <w:t>8.8.3.2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issues such as applicability rule and release independent are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 xml:space="preserve">RAN4# </w:t>
      </w:r>
      <w:r>
        <w:rPr>
          <w:rFonts w:hint="eastAsia" w:ascii="Times New Roman" w:hAnsi="Times New Roman"/>
          <w:bCs/>
          <w:kern w:val="0"/>
          <w:sz w:val="20"/>
          <w:szCs w:val="20"/>
          <w:lang w:val="en-US" w:eastAsia="zh-CN"/>
        </w:rPr>
        <w:t>100</w:t>
      </w:r>
      <w:r>
        <w:rPr>
          <w:rFonts w:hint="eastAsia" w:ascii="Times New Roman" w:hAnsi="Times New Roman"/>
          <w:bCs/>
          <w:kern w:val="0"/>
          <w:sz w:val="20"/>
          <w:szCs w:val="20"/>
        </w:rPr>
        <w:t>-e</w:t>
      </w:r>
      <w:r>
        <w:rPr>
          <w:rFonts w:ascii="Times New Roman" w:hAnsi="Times New Roman"/>
          <w:bCs/>
          <w:kern w:val="0"/>
          <w:sz w:val="20"/>
          <w:szCs w:val="20"/>
        </w:rPr>
        <w:t xml:space="preserve"> meeting, the following </w:t>
      </w:r>
      <w:r>
        <w:rPr>
          <w:rFonts w:hint="eastAsia" w:ascii="Times New Roman" w:hAnsi="Times New Roman"/>
          <w:bCs/>
          <w:kern w:val="0"/>
          <w:sz w:val="20"/>
          <w:szCs w:val="20"/>
        </w:rPr>
        <w:t xml:space="preserve">issues </w:t>
      </w:r>
      <w:r>
        <w:rPr>
          <w:rFonts w:hint="eastAsia" w:ascii="Times New Roman" w:hAnsi="Times New Roman"/>
          <w:bCs/>
          <w:kern w:val="0"/>
          <w:sz w:val="20"/>
          <w:szCs w:val="20"/>
          <w:lang w:val="en-US" w:eastAsia="zh-CN"/>
        </w:rPr>
        <w:t>about applicability rule between SFN and DPS</w:t>
      </w:r>
      <w:r>
        <w:rPr>
          <w:rFonts w:hint="eastAsia" w:ascii="Times New Roman" w:hAnsi="Times New Roman"/>
          <w:bCs/>
          <w:kern w:val="0"/>
          <w:sz w:val="20"/>
          <w:szCs w:val="20"/>
        </w:rPr>
        <w:t xml:space="preserve"> were</w:t>
      </w:r>
      <w:r>
        <w:rPr>
          <w:rFonts w:ascii="Times New Roman" w:hAnsi="Times New Roman"/>
          <w:bCs/>
          <w:kern w:val="0"/>
          <w:sz w:val="20"/>
          <w:szCs w:val="20"/>
        </w:rPr>
        <w:t xml:space="preserve"> reached</w:t>
      </w:r>
      <w:r>
        <w:rPr>
          <w:rFonts w:hint="eastAsia" w:ascii="Times New Roman" w:hAnsi="Times New Roman"/>
          <w:bCs/>
          <w:kern w:val="0"/>
          <w:sz w:val="20"/>
          <w:szCs w:val="20"/>
        </w:rPr>
        <w:t xml:space="preserve"> </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numPr>
                <w:ilvl w:val="0"/>
                <w:numId w:val="4"/>
              </w:numPr>
              <w:kinsoku/>
              <w:wordWrap/>
              <w:topLinePunct w:val="0"/>
              <w:bidi w:val="0"/>
              <w:adjustRightInd w:val="0"/>
              <w:snapToGrid/>
              <w:spacing w:after="0" w:line="240" w:lineRule="auto"/>
              <w:ind w:firstLineChars="0"/>
              <w:rPr>
                <w:rFonts w:hint="default" w:ascii="Times New Roman" w:hAnsi="Times New Roman" w:cs="Times New Roman"/>
                <w:color w:val="000000" w:themeColor="text1"/>
                <w:szCs w:val="24"/>
                <w:lang w:eastAsia="zh-CN"/>
              </w:rPr>
            </w:pPr>
            <w:r>
              <w:rPr>
                <w:rFonts w:hint="default" w:ascii="Times New Roman" w:hAnsi="Times New Roman" w:cs="Times New Roman"/>
                <w:color w:val="000000" w:themeColor="text1"/>
                <w:szCs w:val="24"/>
                <w:lang w:eastAsia="zh-CN"/>
              </w:rPr>
              <w:t xml:space="preserve">Option 1: </w:t>
            </w:r>
          </w:p>
          <w:p>
            <w:pPr>
              <w:pStyle w:val="29"/>
              <w:keepNext w:val="0"/>
              <w:keepLines w:val="0"/>
              <w:pageBreakBefore w:val="0"/>
              <w:numPr>
                <w:ilvl w:val="0"/>
                <w:numId w:val="5"/>
              </w:numPr>
              <w:kinsoku/>
              <w:wordWrap/>
              <w:topLinePunct w:val="0"/>
              <w:bidi w:val="0"/>
              <w:adjustRightInd w:val="0"/>
              <w:snapToGrid/>
              <w:spacing w:after="0" w:line="240" w:lineRule="auto"/>
              <w:ind w:firstLineChars="0"/>
              <w:rPr>
                <w:rFonts w:hint="default" w:ascii="Times New Roman" w:hAnsi="Times New Roman" w:eastAsia="Yu Mincho" w:cs="Times New Roman"/>
                <w:sz w:val="18"/>
                <w:lang w:eastAsia="zh-CN"/>
              </w:rPr>
            </w:pPr>
            <w:r>
              <w:rPr>
                <w:rFonts w:hint="default" w:ascii="Times New Roman" w:hAnsi="Times New Roman" w:eastAsia="Yu Mincho" w:cs="Times New Roman"/>
                <w:sz w:val="18"/>
                <w:lang w:eastAsia="zh-CN"/>
              </w:rPr>
              <w:t>When UE declares the capability demodulationEnhancement-r16, UE need to pass HST-SFN JT for CA. UE can skip HST-DPS for CA</w:t>
            </w:r>
          </w:p>
          <w:p>
            <w:pPr>
              <w:pStyle w:val="29"/>
              <w:keepNext w:val="0"/>
              <w:keepLines w:val="0"/>
              <w:pageBreakBefore w:val="0"/>
              <w:numPr>
                <w:ilvl w:val="0"/>
                <w:numId w:val="5"/>
              </w:numPr>
              <w:kinsoku/>
              <w:wordWrap/>
              <w:topLinePunct w:val="0"/>
              <w:bidi w:val="0"/>
              <w:adjustRightInd w:val="0"/>
              <w:snapToGrid/>
              <w:spacing w:after="0" w:line="240" w:lineRule="auto"/>
              <w:ind w:firstLineChars="0"/>
              <w:rPr>
                <w:rFonts w:hint="default" w:ascii="Times New Roman" w:hAnsi="Times New Roman" w:eastAsia="Yu Mincho" w:cs="Times New Roman"/>
                <w:sz w:val="18"/>
                <w:lang w:eastAsia="zh-CN"/>
              </w:rPr>
            </w:pPr>
            <w:r>
              <w:rPr>
                <w:rFonts w:hint="default" w:ascii="Times New Roman" w:hAnsi="Times New Roman" w:eastAsia="Yu Mincho" w:cs="Times New Roman"/>
                <w:sz w:val="18"/>
                <w:lang w:eastAsia="zh-CN"/>
              </w:rPr>
              <w:t>When UE does not declare the capability demodulationEnhancement-r16, UE need to pass HST-DPS for CA. UE can skip HST-SFN for CA.</w:t>
            </w:r>
          </w:p>
          <w:p>
            <w:pPr>
              <w:pStyle w:val="29"/>
              <w:keepNext w:val="0"/>
              <w:keepLines w:val="0"/>
              <w:pageBreakBefore w:val="0"/>
              <w:numPr>
                <w:ilvl w:val="0"/>
                <w:numId w:val="4"/>
              </w:numPr>
              <w:kinsoku/>
              <w:wordWrap/>
              <w:topLinePunct w:val="0"/>
              <w:bidi w:val="0"/>
              <w:adjustRightInd w:val="0"/>
              <w:snapToGrid/>
              <w:spacing w:after="0" w:line="240" w:lineRule="auto"/>
              <w:ind w:firstLineChars="0"/>
              <w:rPr>
                <w:rFonts w:hint="default" w:ascii="Times New Roman" w:hAnsi="Times New Roman" w:cs="Times New Roman"/>
                <w:color w:val="000000" w:themeColor="text1"/>
                <w:szCs w:val="24"/>
                <w:lang w:eastAsia="zh-CN"/>
              </w:rPr>
            </w:pPr>
            <w:r>
              <w:rPr>
                <w:rFonts w:hint="default" w:ascii="Times New Roman" w:hAnsi="Times New Roman" w:cs="Times New Roman" w:eastAsiaTheme="minorEastAsia"/>
                <w:color w:val="000000" w:themeColor="text1"/>
                <w:szCs w:val="24"/>
                <w:lang w:eastAsia="zh-CN"/>
              </w:rPr>
              <w:t>Option 2:</w:t>
            </w:r>
            <w:r>
              <w:rPr>
                <w:rFonts w:hint="default" w:ascii="Times New Roman" w:hAnsi="Times New Roman" w:cs="Times New Roman"/>
              </w:rPr>
              <w:t xml:space="preserve"> </w:t>
            </w:r>
            <w:r>
              <w:rPr>
                <w:rFonts w:hint="default" w:ascii="Times New Roman" w:hAnsi="Times New Roman" w:cs="Times New Roman" w:eastAsiaTheme="minorEastAsia"/>
                <w:color w:val="000000" w:themeColor="text1"/>
                <w:szCs w:val="24"/>
                <w:lang w:eastAsia="zh-CN"/>
              </w:rPr>
              <w:t>Distribute the HST CA test cases into different SCS combinations.</w:t>
            </w:r>
            <w:r>
              <w:rPr>
                <w:rFonts w:hint="default" w:ascii="Times New Roman" w:hAnsi="Times New Roman" w:cs="Times New Roman"/>
              </w:rPr>
              <w:t xml:space="preserve"> </w:t>
            </w:r>
            <w:r>
              <w:rPr>
                <w:rFonts w:hint="default" w:ascii="Times New Roman" w:hAnsi="Times New Roman" w:cs="Times New Roman" w:eastAsiaTheme="minorEastAsia"/>
                <w:color w:val="000000" w:themeColor="text1"/>
                <w:szCs w:val="24"/>
                <w:lang w:eastAsia="zh-CN"/>
              </w:rPr>
              <w:t>it can be ensured that performance under both HST-SFN CA and HST-DPS CA are verified by this compromise way</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1"/>
              <w:gridCol w:w="1680"/>
              <w:gridCol w:w="1310"/>
              <w:gridCol w:w="1305"/>
              <w:gridCol w:w="676"/>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1" w:type="dxa"/>
                  <w:gridSpan w:val="3"/>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b/>
                      <w:sz w:val="18"/>
                      <w:lang w:val="en-US" w:eastAsia="zh-CN"/>
                    </w:rPr>
                  </w:pPr>
                  <w:r>
                    <w:rPr>
                      <w:rFonts w:hint="default" w:ascii="Times New Roman" w:hAnsi="Times New Roman" w:eastAsia="Yu Mincho" w:cs="Times New Roman"/>
                      <w:b/>
                      <w:sz w:val="18"/>
                      <w:lang w:val="en-US" w:eastAsia="zh-CN"/>
                    </w:rPr>
                    <w:t>UE capability</w:t>
                  </w:r>
                </w:p>
              </w:tc>
              <w:tc>
                <w:tcPr>
                  <w:tcW w:w="3286" w:type="dxa"/>
                  <w:gridSpan w:val="3"/>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b/>
                      <w:sz w:val="18"/>
                      <w:lang w:val="en-US" w:eastAsia="zh-CN"/>
                    </w:rPr>
                  </w:pPr>
                  <w:r>
                    <w:rPr>
                      <w:rFonts w:hint="default" w:ascii="Times New Roman" w:hAnsi="Times New Roman" w:eastAsia="Yu Mincho" w:cs="Times New Roman"/>
                      <w:b/>
                      <w:sz w:val="18"/>
                      <w:lang w:val="en-US" w:eastAsia="zh-CN"/>
                    </w:rPr>
                    <w:t>Cases to be tested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demodulationEnhancement-r16</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more than 1 SCS configurations</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more than 1 CC can track 2 active TCI states</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FDD 15 + TDD 30</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and/or</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TDD 30 + TDD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1a</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or</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1b</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or</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1a</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and</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1b</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and</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SFN and DPS 1a</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or</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SFN and 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SFN and DPS 1b</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or</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SFN and 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x</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SFN</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and</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68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10"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SFN</w:t>
                  </w:r>
                </w:p>
              </w:tc>
              <w:tc>
                <w:tcPr>
                  <w:tcW w:w="676"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and</w:t>
                  </w:r>
                </w:p>
              </w:tc>
              <w:tc>
                <w:tcPr>
                  <w:tcW w:w="1305" w:type="dxa"/>
                  <w:vAlign w:val="center"/>
                </w:tcPr>
                <w:p>
                  <w:pPr>
                    <w:keepNext w:val="0"/>
                    <w:keepLines w:val="0"/>
                    <w:pageBreakBefore w:val="0"/>
                    <w:kinsoku/>
                    <w:wordWrap/>
                    <w:overflowPunct w:val="0"/>
                    <w:topLinePunct w:val="0"/>
                    <w:autoSpaceDE w:val="0"/>
                    <w:autoSpaceDN w:val="0"/>
                    <w:bidi w:val="0"/>
                    <w:adjustRightInd w:val="0"/>
                    <w:snapToGrid/>
                    <w:spacing w:after="0" w:line="240" w:lineRule="auto"/>
                    <w:jc w:val="center"/>
                    <w:textAlignment w:val="baseline"/>
                    <w:rPr>
                      <w:rFonts w:hint="default" w:ascii="Times New Roman" w:hAnsi="Times New Roman" w:eastAsia="Yu Mincho" w:cs="Times New Roman"/>
                      <w:sz w:val="18"/>
                      <w:lang w:val="en-US" w:eastAsia="zh-CN"/>
                    </w:rPr>
                  </w:pPr>
                  <w:r>
                    <w:rPr>
                      <w:rFonts w:hint="default" w:ascii="Times New Roman" w:hAnsi="Times New Roman" w:eastAsia="Yu Mincho" w:cs="Times New Roman"/>
                      <w:sz w:val="18"/>
                      <w:lang w:val="en-US" w:eastAsia="zh-CN"/>
                    </w:rPr>
                    <w:t>DPS 1b</w:t>
                  </w:r>
                </w:p>
              </w:tc>
            </w:tr>
          </w:tbl>
          <w:p>
            <w:pPr>
              <w:numPr>
                <w:ilvl w:val="0"/>
                <w:numId w:val="0"/>
              </w:numPr>
              <w:tabs>
                <w:tab w:val="left" w:pos="420"/>
              </w:tabs>
              <w:autoSpaceDE w:val="0"/>
              <w:autoSpaceDN w:val="0"/>
              <w:adjustRightInd w:val="0"/>
              <w:spacing w:after="0"/>
              <w:rPr>
                <w:rFonts w:hint="default" w:ascii="Times New Roman" w:hAnsi="Times New Roman" w:cs="Times New Roman"/>
                <w:bCs/>
                <w:szCs w:val="20"/>
                <w:lang w:eastAsia="zh-CN"/>
              </w:rPr>
            </w:pP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As pointed in our previous contribution</w:t>
      </w:r>
      <w:r>
        <w:rPr>
          <w:rFonts w:hint="eastAsia" w:ascii="Times New Roman" w:hAnsi="Times New Roman"/>
          <w:bCs/>
          <w:kern w:val="0"/>
          <w:sz w:val="20"/>
          <w:szCs w:val="20"/>
          <w:vertAlign w:val="superscript"/>
          <w:lang w:val="en-US" w:eastAsia="zh-CN"/>
        </w:rPr>
        <w:t>[2]</w:t>
      </w:r>
      <w:r>
        <w:rPr>
          <w:rFonts w:hint="eastAsia" w:ascii="Times New Roman" w:hAnsi="Times New Roman"/>
          <w:bCs/>
          <w:kern w:val="0"/>
          <w:sz w:val="20"/>
          <w:szCs w:val="20"/>
          <w:lang w:val="en-US" w:eastAsia="zh-CN"/>
        </w:rPr>
        <w:t xml:space="preserve">, </w:t>
      </w:r>
      <w:r>
        <w:rPr>
          <w:rFonts w:hint="eastAsia" w:ascii="Times New Roman" w:hAnsi="Times New Roman"/>
          <w:bCs/>
          <w:kern w:val="0"/>
          <w:sz w:val="20"/>
          <w:szCs w:val="20"/>
        </w:rPr>
        <w:t>HST-SFN</w:t>
      </w:r>
      <w:r>
        <w:rPr>
          <w:rFonts w:ascii="Times New Roman" w:hAnsi="Times New Roman"/>
          <w:bCs/>
          <w:kern w:val="0"/>
          <w:sz w:val="20"/>
          <w:szCs w:val="20"/>
        </w:rPr>
        <w:t xml:space="preserve"> and </w:t>
      </w:r>
      <w:r>
        <w:rPr>
          <w:rFonts w:hint="eastAsia" w:ascii="Times New Roman" w:hAnsi="Times New Roman"/>
          <w:bCs/>
          <w:kern w:val="0"/>
          <w:sz w:val="20"/>
          <w:szCs w:val="20"/>
        </w:rPr>
        <w:t>DPS</w:t>
      </w:r>
      <w:r>
        <w:rPr>
          <w:rFonts w:ascii="Times New Roman" w:hAnsi="Times New Roman"/>
          <w:bCs/>
          <w:kern w:val="0"/>
          <w:sz w:val="20"/>
          <w:szCs w:val="20"/>
        </w:rPr>
        <w:t xml:space="preserve"> belong to </w:t>
      </w:r>
      <w:r>
        <w:rPr>
          <w:rFonts w:hint="eastAsia" w:ascii="Times New Roman" w:hAnsi="Times New Roman"/>
          <w:bCs/>
          <w:kern w:val="0"/>
          <w:sz w:val="20"/>
          <w:szCs w:val="20"/>
        </w:rPr>
        <w:t>different</w:t>
      </w:r>
      <w:r>
        <w:rPr>
          <w:rFonts w:ascii="Times New Roman" w:hAnsi="Times New Roman"/>
          <w:bCs/>
          <w:kern w:val="0"/>
          <w:sz w:val="20"/>
          <w:szCs w:val="20"/>
        </w:rPr>
        <w:t xml:space="preserve"> transmission scheme, and </w:t>
      </w:r>
      <w:r>
        <w:rPr>
          <w:rFonts w:hint="eastAsia" w:ascii="Times New Roman" w:hAnsi="Times New Roman"/>
          <w:bCs/>
          <w:kern w:val="0"/>
          <w:sz w:val="20"/>
          <w:szCs w:val="20"/>
        </w:rPr>
        <w:t xml:space="preserve">the </w:t>
      </w:r>
      <w:r>
        <w:rPr>
          <w:rFonts w:ascii="Times New Roman" w:hAnsi="Times New Roman"/>
          <w:bCs/>
          <w:kern w:val="0"/>
          <w:sz w:val="20"/>
          <w:szCs w:val="20"/>
        </w:rPr>
        <w:t xml:space="preserve">receiving algorithm and performance will be different. </w:t>
      </w:r>
      <w:r>
        <w:rPr>
          <w:rFonts w:hint="eastAsia" w:ascii="Times New Roman" w:hAnsi="Times New Roman"/>
          <w:bCs/>
          <w:kern w:val="0"/>
          <w:sz w:val="20"/>
          <w:szCs w:val="20"/>
          <w:lang w:val="en-US" w:eastAsia="zh-CN"/>
        </w:rPr>
        <w:t>Whether UE can skip DPS when SFN is tested or UE can skip SFN when DPS is tested was not reached. Option 2 was proposed which is more like not defining applicability rule between SFN and DPS. But from the last 2 row of option 2 above we can find that SFN is tested for one SCS combination and DPS is tested for the other SCS combination. The reason to select SFN or DPS is not clear which is also an applicability rule.</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In our opinion, if applicability rule between DPS and SFN is not compromised, the modified option 2 can be considered.</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consider option 2a for HST CA test cases</w:t>
      </w:r>
      <w:r>
        <w:rPr>
          <w:rFonts w:ascii="Times New Roman" w:hAnsi="Times New Roman"/>
          <w:b/>
          <w:kern w:val="0"/>
          <w:sz w:val="20"/>
          <w:szCs w:val="20"/>
        </w:rPr>
        <w:t>.</w:t>
      </w:r>
    </w:p>
    <w:p>
      <w:pPr>
        <w:pStyle w:val="29"/>
        <w:ind w:firstLine="0" w:firstLineChars="0"/>
        <w:rPr>
          <w:rFonts w:hint="eastAsia" w:ascii="Times New Roman" w:hAnsi="Times New Roman"/>
          <w:b/>
          <w:bCs/>
          <w:kern w:val="0"/>
          <w:sz w:val="20"/>
          <w:szCs w:val="20"/>
          <w:lang w:val="en-US" w:eastAsia="zh-CN"/>
        </w:rPr>
      </w:pPr>
      <w:r>
        <w:rPr>
          <w:rFonts w:hint="default" w:ascii="Times New Roman" w:hAnsi="Times New Roman" w:cs="Times New Roman" w:eastAsiaTheme="minorEastAsia"/>
          <w:b/>
          <w:bCs/>
          <w:color w:val="000000" w:themeColor="text1"/>
          <w:szCs w:val="24"/>
          <w:lang w:eastAsia="zh-CN"/>
        </w:rPr>
        <w:t>Option 2</w:t>
      </w:r>
      <w:r>
        <w:rPr>
          <w:rFonts w:hint="eastAsia" w:ascii="Times New Roman" w:hAnsi="Times New Roman" w:cs="Times New Roman" w:eastAsiaTheme="minorEastAsia"/>
          <w:b/>
          <w:bCs/>
          <w:color w:val="000000" w:themeColor="text1"/>
          <w:szCs w:val="24"/>
          <w:lang w:val="en-US" w:eastAsia="zh-CN"/>
        </w:rPr>
        <w:t>a</w:t>
      </w:r>
      <w:r>
        <w:rPr>
          <w:rFonts w:hint="default" w:ascii="Times New Roman" w:hAnsi="Times New Roman" w:cs="Times New Roman" w:eastAsiaTheme="minorEastAsia"/>
          <w:b/>
          <w:bCs/>
          <w:color w:val="000000" w:themeColor="text1"/>
          <w:szCs w:val="24"/>
          <w:lang w:eastAsia="zh-CN"/>
        </w:rPr>
        <w:t>:</w:t>
      </w:r>
      <w:r>
        <w:rPr>
          <w:rFonts w:hint="default" w:ascii="Times New Roman" w:hAnsi="Times New Roman" w:cs="Times New Roman"/>
          <w:b/>
          <w:bCs/>
        </w:rPr>
        <w:t xml:space="preserve"> </w:t>
      </w:r>
      <w:r>
        <w:rPr>
          <w:rFonts w:hint="default" w:ascii="Times New Roman" w:hAnsi="Times New Roman" w:cs="Times New Roman" w:eastAsiaTheme="minorEastAsia"/>
          <w:b/>
          <w:bCs/>
          <w:color w:val="000000" w:themeColor="text1"/>
          <w:szCs w:val="24"/>
          <w:lang w:eastAsia="zh-CN"/>
        </w:rPr>
        <w:t>Distribute the HST CA test cases into different SCS combinations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1"/>
        <w:gridCol w:w="1680"/>
        <w:gridCol w:w="1310"/>
        <w:gridCol w:w="1305"/>
        <w:gridCol w:w="676"/>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1" w:type="dxa"/>
            <w:gridSpan w:val="3"/>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UE capability</w:t>
            </w:r>
          </w:p>
        </w:tc>
        <w:tc>
          <w:tcPr>
            <w:tcW w:w="3286" w:type="dxa"/>
            <w:gridSpan w:val="3"/>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Cases to be tested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demodulationEnhancement-r16</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more than 1 SCS configurations</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more than 1 CC can track 2 active TCI states</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FDD 15 + TDD 30</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TDD 30 + TDD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and</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or</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or </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or </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r>
    </w:tbl>
    <w:p>
      <w:pPr>
        <w:pStyle w:val="29"/>
        <w:suppressAutoHyphens/>
        <w:ind w:firstLine="0" w:firstLineChars="0"/>
        <w:rPr>
          <w:rFonts w:ascii="Times New Roman" w:hAnsi="Times New Roman"/>
          <w:b/>
          <w:kern w:val="0"/>
          <w:sz w:val="20"/>
          <w:szCs w:val="20"/>
        </w:rPr>
      </w:pPr>
    </w:p>
    <w:p>
      <w:pPr>
        <w:rPr>
          <w:rFonts w:hint="eastAsia" w:eastAsia="宋体" w:cs="Times New Roman"/>
          <w:bCs/>
          <w:kern w:val="0"/>
          <w:sz w:val="20"/>
          <w:szCs w:val="20"/>
          <w:lang w:val="en-US" w:eastAsia="zh-CN" w:bidi="ar-SA"/>
        </w:rPr>
      </w:pPr>
      <w:r>
        <w:rPr>
          <w:rFonts w:hint="eastAsia" w:ascii="Times New Roman" w:hAnsi="Times New Roman" w:eastAsia="宋体" w:cs="Times New Roman"/>
          <w:bCs/>
          <w:kern w:val="0"/>
          <w:sz w:val="20"/>
          <w:szCs w:val="20"/>
          <w:lang w:val="en-US" w:eastAsia="zh-CN" w:bidi="ar-SA"/>
        </w:rPr>
        <w:t xml:space="preserve">Another issue </w:t>
      </w:r>
      <w:r>
        <w:rPr>
          <w:rFonts w:hint="eastAsia" w:eastAsia="宋体" w:cs="Times New Roman"/>
          <w:bCs/>
          <w:kern w:val="0"/>
          <w:sz w:val="20"/>
          <w:szCs w:val="20"/>
          <w:lang w:val="en-US" w:eastAsia="zh-CN" w:bidi="ar-SA"/>
        </w:rPr>
        <w:t>is the UE capability for HST CA.</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firstLineChars="0"/>
              <w:textAlignment w:val="auto"/>
              <w:rPr>
                <w:rFonts w:hint="default" w:ascii="Times New Roman" w:hAnsi="Times New Roman" w:cs="Times New Roman"/>
                <w:color w:val="000000" w:themeColor="text1"/>
                <w:sz w:val="20"/>
                <w:szCs w:val="20"/>
                <w:lang w:eastAsia="zh-CN"/>
              </w:rPr>
            </w:pPr>
            <w:r>
              <w:rPr>
                <w:rFonts w:hint="default" w:ascii="Times New Roman" w:hAnsi="Times New Roman" w:cs="Times New Roman"/>
                <w:color w:val="000000" w:themeColor="text1"/>
                <w:sz w:val="20"/>
                <w:szCs w:val="20"/>
                <w:lang w:eastAsia="zh-CN"/>
              </w:rPr>
              <w:t xml:space="preserve">Option 1: </w:t>
            </w:r>
          </w:p>
          <w:p>
            <w:pPr>
              <w:pStyle w:val="29"/>
              <w:keepNext w:val="0"/>
              <w:keepLines w:val="0"/>
              <w:pageBreakBefore w:val="0"/>
              <w:widowControl w:val="0"/>
              <w:numPr>
                <w:ilvl w:val="0"/>
                <w:numId w:val="6"/>
              </w:numPr>
              <w:kinsoku/>
              <w:wordWrap/>
              <w:overflowPunct/>
              <w:topLinePunct w:val="0"/>
              <w:autoSpaceDE/>
              <w:autoSpaceDN/>
              <w:bidi w:val="0"/>
              <w:adjustRightInd w:val="0"/>
              <w:snapToGrid w:val="0"/>
              <w:spacing w:after="0" w:line="240" w:lineRule="auto"/>
              <w:ind w:firstLineChars="0"/>
              <w:textAlignment w:val="auto"/>
              <w:rPr>
                <w:rFonts w:hint="default" w:ascii="Times New Roman" w:hAnsi="Times New Roman" w:eastAsia="Yu Mincho" w:cs="Times New Roman"/>
                <w:sz w:val="20"/>
                <w:szCs w:val="20"/>
                <w:lang w:eastAsia="zh-CN"/>
              </w:rPr>
            </w:pPr>
            <w:r>
              <w:rPr>
                <w:rFonts w:hint="default" w:ascii="Times New Roman" w:hAnsi="Times New Roman" w:eastAsia="Yu Mincho" w:cs="Times New Roman"/>
                <w:sz w:val="20"/>
                <w:szCs w:val="20"/>
                <w:lang w:eastAsia="zh-CN"/>
              </w:rPr>
              <w:t xml:space="preserve">Define UE capability for HST-SFN CA, such as </w:t>
            </w:r>
            <w:r>
              <w:rPr>
                <w:rFonts w:hint="default" w:ascii="Times New Roman" w:hAnsi="Times New Roman" w:eastAsia="Yu Mincho" w:cs="Times New Roman"/>
                <w:b w:val="0"/>
                <w:bCs w:val="0"/>
                <w:color w:val="auto"/>
                <w:sz w:val="20"/>
                <w:szCs w:val="20"/>
                <w:highlight w:val="none"/>
                <w:lang w:eastAsia="zh-CN"/>
              </w:rPr>
              <w:t>demodulationEnhancementCA-r17</w:t>
            </w:r>
            <w:r>
              <w:rPr>
                <w:rFonts w:hint="default" w:ascii="Times New Roman" w:hAnsi="Times New Roman" w:eastAsia="Yu Mincho" w:cs="Times New Roman"/>
                <w:sz w:val="20"/>
                <w:szCs w:val="20"/>
                <w:lang w:eastAsia="zh-CN"/>
              </w:rPr>
              <w:t xml:space="preserve"> (This capability can be release independent from Rel-15), that is different from the capability of demodulationEnhancement-r16 for HST-SFN single carrier</w:t>
            </w:r>
          </w:p>
          <w:p>
            <w:pPr>
              <w:pStyle w:val="29"/>
              <w:keepNext w:val="0"/>
              <w:keepLines w:val="0"/>
              <w:pageBreakBefore w:val="0"/>
              <w:widowControl w:val="0"/>
              <w:numPr>
                <w:ilvl w:val="1"/>
                <w:numId w:val="6"/>
              </w:numPr>
              <w:kinsoku/>
              <w:wordWrap/>
              <w:overflowPunct/>
              <w:topLinePunct w:val="0"/>
              <w:autoSpaceDE/>
              <w:autoSpaceDN/>
              <w:bidi w:val="0"/>
              <w:adjustRightInd w:val="0"/>
              <w:snapToGrid w:val="0"/>
              <w:spacing w:after="0" w:line="240" w:lineRule="auto"/>
              <w:ind w:firstLineChars="0"/>
              <w:textAlignment w:val="auto"/>
              <w:rPr>
                <w:rFonts w:hint="default" w:ascii="Times New Roman" w:hAnsi="Times New Roman" w:eastAsia="Yu Mincho" w:cs="Times New Roman"/>
                <w:sz w:val="20"/>
                <w:szCs w:val="20"/>
                <w:lang w:eastAsia="zh-CN"/>
              </w:rPr>
            </w:pPr>
            <w:r>
              <w:rPr>
                <w:rFonts w:hint="default" w:ascii="Times New Roman" w:hAnsi="Times New Roman" w:cs="Times New Roman" w:eastAsiaTheme="minorEastAsia"/>
                <w:sz w:val="20"/>
                <w:szCs w:val="20"/>
                <w:lang w:eastAsia="zh-CN"/>
              </w:rPr>
              <w:t>The granularity is per band to allow UE to report the supporting HST-SFN CA in some bands</w:t>
            </w:r>
          </w:p>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firstLineChars="0"/>
              <w:textAlignment w:val="auto"/>
              <w:rPr>
                <w:rFonts w:hint="eastAsia"/>
                <w:b/>
                <w:szCs w:val="20"/>
                <w:vertAlign w:val="baseline"/>
              </w:rPr>
            </w:pPr>
            <w:r>
              <w:rPr>
                <w:rFonts w:hint="default" w:ascii="Times New Roman" w:hAnsi="Times New Roman" w:cs="Times New Roman"/>
                <w:color w:val="000000" w:themeColor="text1"/>
                <w:sz w:val="20"/>
                <w:szCs w:val="20"/>
                <w:lang w:eastAsia="zh-CN"/>
              </w:rPr>
              <w:t>Other option is not precluded</w:t>
            </w:r>
          </w:p>
        </w:tc>
      </w:tr>
    </w:tbl>
    <w:p>
      <w:pPr>
        <w:keepNext w:val="0"/>
        <w:keepLines w:val="0"/>
        <w:pageBreakBefore w:val="0"/>
        <w:widowControl/>
        <w:kinsoku/>
        <w:wordWrap/>
        <w:overflowPunct/>
        <w:topLinePunct w:val="0"/>
        <w:autoSpaceDE/>
        <w:autoSpaceDN/>
        <w:bidi w:val="0"/>
        <w:adjustRightInd/>
        <w:snapToGrid/>
        <w:spacing w:before="313" w:beforeLines="100" w:line="260" w:lineRule="auto"/>
        <w:textAlignment w:val="auto"/>
        <w:rPr>
          <w:rFonts w:hint="default" w:eastAsia="宋体"/>
          <w:b w:val="0"/>
          <w:bCs/>
          <w:szCs w:val="20"/>
          <w:lang w:val="en-US" w:eastAsia="zh-CN"/>
        </w:rPr>
      </w:pPr>
      <w:r>
        <w:rPr>
          <w:rFonts w:hint="eastAsia" w:eastAsia="宋体"/>
          <w:b w:val="0"/>
          <w:bCs/>
          <w:szCs w:val="20"/>
          <w:lang w:val="en-US" w:eastAsia="zh-CN"/>
        </w:rPr>
        <w:t>The fact that UE can support CA and HST separately does not mean that UE can support HST CA. therefore, UE capability can be introduced to indicate whether it support HST CA or not. However, the description of option 1 needs further clarification for</w:t>
      </w:r>
      <w:r>
        <w:rPr>
          <w:rFonts w:hint="eastAsia" w:eastAsia="宋体"/>
          <w:b w:val="0"/>
          <w:bCs/>
          <w:i/>
          <w:iCs/>
          <w:szCs w:val="20"/>
          <w:lang w:val="en-US" w:eastAsia="zh-CN"/>
        </w:rPr>
        <w:t xml:space="preserve"> </w:t>
      </w:r>
      <w:r>
        <w:rPr>
          <w:rFonts w:hint="default" w:ascii="Times New Roman" w:hAnsi="Times New Roman" w:cs="Times New Roman" w:eastAsiaTheme="minorEastAsia"/>
          <w:i/>
          <w:iCs/>
          <w:sz w:val="20"/>
          <w:szCs w:val="20"/>
          <w:lang w:eastAsia="zh-CN"/>
        </w:rPr>
        <w:t>The granularity is per band to allow UE to report the supporting HST-SFN CA in some bands</w:t>
      </w:r>
      <w:r>
        <w:rPr>
          <w:rFonts w:hint="eastAsia" w:eastAsia="宋体"/>
          <w:b w:val="0"/>
          <w:bCs/>
          <w:i/>
          <w:iCs/>
          <w:szCs w:val="20"/>
          <w:lang w:val="en-US" w:eastAsia="zh-CN"/>
        </w:rPr>
        <w:t xml:space="preserve"> </w:t>
      </w:r>
      <w:r>
        <w:rPr>
          <w:rFonts w:hint="eastAsia" w:eastAsia="宋体"/>
          <w:b w:val="0"/>
          <w:bCs/>
          <w:szCs w:val="20"/>
          <w:lang w:val="en-US" w:eastAsia="zh-CN"/>
        </w:rPr>
        <w:t xml:space="preserve">needs to updated as </w:t>
      </w:r>
      <w:r>
        <w:rPr>
          <w:rFonts w:hint="default" w:ascii="Times New Roman" w:hAnsi="Times New Roman" w:cs="Times New Roman" w:eastAsiaTheme="minorEastAsia"/>
          <w:i/>
          <w:iCs/>
          <w:sz w:val="20"/>
          <w:szCs w:val="20"/>
          <w:lang w:eastAsia="zh-CN"/>
        </w:rPr>
        <w:t xml:space="preserve">The granularity is per band </w:t>
      </w:r>
      <w:r>
        <w:rPr>
          <w:rFonts w:hint="eastAsia" w:cs="Times New Roman" w:eastAsiaTheme="minorEastAsia"/>
          <w:i/>
          <w:iCs/>
          <w:sz w:val="20"/>
          <w:szCs w:val="20"/>
          <w:lang w:val="en-US" w:eastAsia="zh-CN"/>
        </w:rPr>
        <w:t xml:space="preserve">combination </w:t>
      </w:r>
      <w:r>
        <w:rPr>
          <w:rFonts w:hint="default" w:ascii="Times New Roman" w:hAnsi="Times New Roman" w:cs="Times New Roman" w:eastAsiaTheme="minorEastAsia"/>
          <w:i/>
          <w:iCs/>
          <w:sz w:val="20"/>
          <w:szCs w:val="20"/>
          <w:lang w:eastAsia="zh-CN"/>
        </w:rPr>
        <w:t>to allow UE to report the supporting HST-SFN CA in some bands</w:t>
      </w:r>
      <w:r>
        <w:rPr>
          <w:rFonts w:hint="eastAsia" w:cs="Times New Roman" w:eastAsiaTheme="minorEastAsia"/>
          <w:i/>
          <w:iCs/>
          <w:sz w:val="20"/>
          <w:szCs w:val="20"/>
          <w:lang w:val="en-US" w:eastAsia="zh-CN"/>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introduce UE capability for HST CA and the granularity is per band combination</w:t>
      </w:r>
      <w:r>
        <w:rPr>
          <w:rFonts w:ascii="Times New Roman" w:hAnsi="Times New Roman"/>
          <w:b/>
          <w:kern w:val="0"/>
          <w:sz w:val="20"/>
          <w:szCs w:val="20"/>
        </w:rPr>
        <w:t>.</w:t>
      </w:r>
    </w:p>
    <w:p>
      <w:pPr>
        <w:rPr>
          <w:rFonts w:hint="default" w:eastAsia="宋体"/>
          <w:b w:val="0"/>
          <w:bCs/>
          <w:szCs w:val="20"/>
          <w:vertAlign w:val="baseline"/>
          <w:lang w:val="en-US" w:eastAsia="zh-CN"/>
        </w:rPr>
      </w:pPr>
      <w:r>
        <w:rPr>
          <w:rFonts w:hint="eastAsia" w:eastAsia="宋体"/>
          <w:b w:val="0"/>
          <w:bCs/>
          <w:szCs w:val="20"/>
          <w:lang w:val="en-US" w:eastAsia="zh-CN"/>
        </w:rPr>
        <w:t xml:space="preserve"> For release independent issue, the following was captured in the WF</w:t>
      </w:r>
      <w:r>
        <w:rPr>
          <w:rFonts w:hint="eastAsia" w:eastAsia="宋体"/>
          <w:b w:val="0"/>
          <w:bCs/>
          <w:szCs w:val="20"/>
          <w:vertAlign w:val="superscript"/>
          <w:lang w:val="en-US" w:eastAsia="zh-CN"/>
        </w:rPr>
        <w:t>[1]</w:t>
      </w:r>
      <w:r>
        <w:rPr>
          <w:rFonts w:hint="eastAsia" w:cs="Times New Roman" w:eastAsiaTheme="minorEastAsia"/>
          <w:i/>
          <w:iCs/>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hanging="420" w:firstLineChars="0"/>
              <w:textAlignment w:val="auto"/>
              <w:rPr>
                <w:rFonts w:hint="default" w:ascii="Times New Roman" w:hAnsi="Times New Roman" w:cs="Times New Roman"/>
                <w:color w:val="000000" w:themeColor="text1"/>
                <w:sz w:val="20"/>
                <w:szCs w:val="20"/>
                <w:lang w:eastAsia="zh-CN"/>
              </w:rPr>
            </w:pPr>
            <w:r>
              <w:rPr>
                <w:rFonts w:hint="default" w:ascii="Times New Roman" w:hAnsi="Times New Roman" w:cs="Times New Roman"/>
                <w:color w:val="000000" w:themeColor="text1"/>
                <w:sz w:val="20"/>
                <w:szCs w:val="20"/>
                <w:lang w:eastAsia="zh-CN"/>
              </w:rPr>
              <w:t>Option 1: Rel-17 FR1 HST PDSCH CA requirements are release independent from Rel-15.</w:t>
            </w:r>
          </w:p>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hanging="420" w:firstLineChars="0"/>
              <w:textAlignment w:val="auto"/>
              <w:rPr>
                <w:rFonts w:hint="default" w:ascii="Times New Roman" w:hAnsi="Times New Roman" w:cs="Times New Roman"/>
                <w:color w:val="000000" w:themeColor="text1"/>
                <w:sz w:val="20"/>
                <w:szCs w:val="20"/>
                <w:lang w:eastAsia="zh-CN"/>
              </w:rPr>
            </w:pPr>
            <w:r>
              <w:rPr>
                <w:rFonts w:hint="default" w:ascii="Times New Roman" w:hAnsi="Times New Roman" w:cs="Times New Roman"/>
                <w:color w:val="000000" w:themeColor="text1"/>
                <w:sz w:val="20"/>
                <w:szCs w:val="20"/>
                <w:lang w:eastAsia="zh-CN"/>
              </w:rPr>
              <w:t>Option 2: Do not define release independent from Rel-15 for HST PDSCH CA requirements</w:t>
            </w:r>
          </w:p>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hanging="420" w:firstLineChars="0"/>
              <w:textAlignment w:val="auto"/>
              <w:rPr>
                <w:rFonts w:hint="default" w:ascii="Times New Roman" w:hAnsi="Times New Roman" w:cs="Times New Roman"/>
                <w:color w:val="000000" w:themeColor="text1"/>
                <w:sz w:val="20"/>
                <w:szCs w:val="20"/>
                <w:lang w:eastAsia="zh-CN"/>
              </w:rPr>
            </w:pPr>
            <w:r>
              <w:rPr>
                <w:rFonts w:hint="default" w:ascii="Times New Roman" w:hAnsi="Times New Roman" w:cs="Times New Roman" w:eastAsiaTheme="minorEastAsia"/>
                <w:color w:val="000000" w:themeColor="text1"/>
                <w:sz w:val="20"/>
                <w:szCs w:val="20"/>
                <w:lang w:eastAsia="zh-CN"/>
              </w:rPr>
              <w:t xml:space="preserve">Option 3: </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hanging="420" w:firstLineChars="0"/>
              <w:textAlignment w:val="auto"/>
              <w:rPr>
                <w:rFonts w:hint="default" w:ascii="Times New Roman" w:hAnsi="Times New Roman" w:cs="Times New Roman"/>
                <w:color w:val="000000" w:themeColor="text1"/>
                <w:sz w:val="20"/>
                <w:szCs w:val="20"/>
                <w:lang w:eastAsia="zh-CN"/>
              </w:rPr>
            </w:pPr>
            <w:r>
              <w:rPr>
                <w:rFonts w:hint="default" w:ascii="Times New Roman" w:hAnsi="Times New Roman" w:cs="Times New Roman"/>
                <w:color w:val="000000" w:themeColor="text1"/>
                <w:sz w:val="20"/>
                <w:szCs w:val="20"/>
                <w:lang w:eastAsia="zh-CN"/>
              </w:rPr>
              <w:t>HST-DPS CA requirements are release independent from Rel-15</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hanging="420" w:firstLineChars="0"/>
              <w:textAlignment w:val="auto"/>
              <w:rPr>
                <w:rFonts w:hint="default" w:ascii="Times New Roman" w:hAnsi="Times New Roman" w:cs="Times New Roman"/>
                <w:color w:val="000000" w:themeColor="text1"/>
                <w:sz w:val="20"/>
                <w:szCs w:val="20"/>
                <w:lang w:eastAsia="zh-CN"/>
              </w:rPr>
            </w:pPr>
            <w:r>
              <w:rPr>
                <w:rFonts w:hint="default" w:ascii="Times New Roman" w:hAnsi="Times New Roman" w:cs="Times New Roman"/>
                <w:color w:val="000000" w:themeColor="text1"/>
                <w:sz w:val="20"/>
                <w:szCs w:val="20"/>
                <w:lang w:eastAsia="zh-CN"/>
              </w:rPr>
              <w:t>HST-SFN CA requirements are applicable from Rel-17</w:t>
            </w:r>
          </w:p>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hanging="420" w:firstLineChars="0"/>
              <w:textAlignment w:val="auto"/>
              <w:rPr>
                <w:rFonts w:hint="eastAsia" w:eastAsia="宋体"/>
                <w:b w:val="0"/>
                <w:bCs/>
                <w:sz w:val="20"/>
                <w:szCs w:val="20"/>
                <w:vertAlign w:val="baseline"/>
                <w:lang w:val="en-US" w:eastAsia="zh-CN"/>
              </w:rPr>
            </w:pPr>
            <w:r>
              <w:rPr>
                <w:rFonts w:hint="default" w:ascii="Times New Roman" w:hAnsi="Times New Roman" w:cs="Times New Roman" w:eastAsiaTheme="minorEastAsia"/>
                <w:color w:val="000000" w:themeColor="text1"/>
                <w:sz w:val="20"/>
                <w:szCs w:val="20"/>
                <w:lang w:eastAsia="zh-CN"/>
              </w:rPr>
              <w:t>Option 4: Rel-17 FR1 HST PDSCH CA requirements can be release independent from Rel-15, if Rel-17 RRM requirements for HST are defined release independent from Rel-15.</w:t>
            </w:r>
          </w:p>
        </w:tc>
      </w:tr>
    </w:tbl>
    <w:p>
      <w:pPr>
        <w:keepNext w:val="0"/>
        <w:keepLines w:val="0"/>
        <w:pageBreakBefore w:val="0"/>
        <w:widowControl/>
        <w:kinsoku/>
        <w:wordWrap/>
        <w:overflowPunct/>
        <w:topLinePunct w:val="0"/>
        <w:autoSpaceDE/>
        <w:autoSpaceDN/>
        <w:bidi w:val="0"/>
        <w:adjustRightInd/>
        <w:snapToGrid/>
        <w:spacing w:before="313" w:beforeLines="100" w:line="260" w:lineRule="auto"/>
        <w:textAlignment w:val="auto"/>
        <w:rPr>
          <w:rFonts w:hint="eastAsia" w:eastAsia="宋体"/>
          <w:b w:val="0"/>
          <w:bCs/>
          <w:szCs w:val="20"/>
          <w:lang w:val="en-US" w:eastAsia="zh-CN"/>
        </w:rPr>
      </w:pPr>
      <w:r>
        <w:rPr>
          <w:rFonts w:hint="eastAsia" w:eastAsia="宋体"/>
          <w:b w:val="0"/>
          <w:bCs/>
          <w:szCs w:val="20"/>
          <w:lang w:val="en-US" w:eastAsia="zh-CN"/>
        </w:rPr>
        <w:t>As the HST and CA is supported for release independent feature, and the supporting of HST CA can improve the user experience. So we support option 1.</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3</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support option 1 or option 4 for release independent feature</w:t>
      </w:r>
      <w:r>
        <w:rPr>
          <w:rFonts w:ascii="Times New Roman" w:hAnsi="Times New Roman"/>
          <w:b/>
          <w:kern w:val="0"/>
          <w:sz w:val="20"/>
          <w:szCs w:val="20"/>
        </w:rPr>
        <w:t>.</w:t>
      </w:r>
    </w:p>
    <w:p>
      <w:pPr>
        <w:rPr>
          <w:rFonts w:ascii="Times New Roman" w:hAnsi="Times New Roman"/>
          <w:b/>
          <w:kern w:val="0"/>
          <w:sz w:val="20"/>
          <w:szCs w:val="20"/>
        </w:rPr>
      </w:pPr>
      <w:r>
        <w:rPr>
          <w:rFonts w:ascii="Times New Roman" w:hAnsi="Times New Roman"/>
          <w:b/>
          <w:kern w:val="0"/>
          <w:sz w:val="20"/>
          <w:szCs w:val="20"/>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eastAsia="宋体"/>
          <w:bCs/>
          <w:szCs w:val="20"/>
          <w:lang w:eastAsia="zh-CN"/>
        </w:rPr>
      </w:pPr>
      <w:r>
        <w:rPr>
          <w:rFonts w:hint="eastAsia" w:eastAsia="宋体"/>
          <w:bCs/>
          <w:szCs w:val="20"/>
          <w:lang w:eastAsia="zh-CN"/>
        </w:rPr>
        <w:t>In this contribution, we provide the following observations and proposals for FR</w:t>
      </w:r>
      <w:r>
        <w:rPr>
          <w:rFonts w:hint="eastAsia" w:eastAsia="宋体"/>
          <w:bCs/>
          <w:szCs w:val="20"/>
          <w:lang w:val="en-US" w:eastAsia="zh-CN"/>
        </w:rPr>
        <w:t xml:space="preserve">1 </w:t>
      </w:r>
      <w:r>
        <w:rPr>
          <w:rFonts w:hint="eastAsia" w:eastAsia="宋体"/>
          <w:bCs/>
          <w:szCs w:val="20"/>
          <w:lang w:eastAsia="zh-CN"/>
        </w:rPr>
        <w:t xml:space="preserve">HST </w:t>
      </w:r>
      <w:r>
        <w:rPr>
          <w:rFonts w:hint="eastAsia" w:eastAsia="宋体"/>
          <w:bCs/>
          <w:szCs w:val="20"/>
          <w:lang w:val="en-US" w:eastAsia="zh-CN"/>
        </w:rPr>
        <w:t>CA</w:t>
      </w:r>
      <w:r>
        <w:rPr>
          <w:rFonts w:hint="eastAsia" w:eastAsia="宋体"/>
          <w:bCs/>
          <w:szCs w:val="20"/>
          <w:lang w:eastAsia="zh-CN"/>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consider option 2a for HST CA test cases</w:t>
      </w:r>
      <w:r>
        <w:rPr>
          <w:rFonts w:ascii="Times New Roman" w:hAnsi="Times New Roman"/>
          <w:b/>
          <w:kern w:val="0"/>
          <w:sz w:val="20"/>
          <w:szCs w:val="20"/>
        </w:rPr>
        <w:t>.</w:t>
      </w:r>
    </w:p>
    <w:p>
      <w:pPr>
        <w:pStyle w:val="29"/>
        <w:ind w:firstLine="0" w:firstLineChars="0"/>
        <w:rPr>
          <w:rFonts w:hint="eastAsia" w:ascii="Times New Roman" w:hAnsi="Times New Roman"/>
          <w:b/>
          <w:bCs/>
          <w:kern w:val="0"/>
          <w:sz w:val="20"/>
          <w:szCs w:val="20"/>
          <w:lang w:val="en-US" w:eastAsia="zh-CN"/>
        </w:rPr>
      </w:pPr>
      <w:r>
        <w:rPr>
          <w:rFonts w:hint="default" w:ascii="Times New Roman" w:hAnsi="Times New Roman" w:cs="Times New Roman" w:eastAsiaTheme="minorEastAsia"/>
          <w:b/>
          <w:bCs/>
          <w:color w:val="000000" w:themeColor="text1"/>
          <w:szCs w:val="24"/>
          <w:lang w:eastAsia="zh-CN"/>
        </w:rPr>
        <w:t>Option 2</w:t>
      </w:r>
      <w:r>
        <w:rPr>
          <w:rFonts w:hint="eastAsia" w:ascii="Times New Roman" w:hAnsi="Times New Roman" w:cs="Times New Roman" w:eastAsiaTheme="minorEastAsia"/>
          <w:b/>
          <w:bCs/>
          <w:color w:val="000000" w:themeColor="text1"/>
          <w:szCs w:val="24"/>
          <w:lang w:val="en-US" w:eastAsia="zh-CN"/>
        </w:rPr>
        <w:t>a</w:t>
      </w:r>
      <w:r>
        <w:rPr>
          <w:rFonts w:hint="default" w:ascii="Times New Roman" w:hAnsi="Times New Roman" w:cs="Times New Roman" w:eastAsiaTheme="minorEastAsia"/>
          <w:b/>
          <w:bCs/>
          <w:color w:val="000000" w:themeColor="text1"/>
          <w:szCs w:val="24"/>
          <w:lang w:eastAsia="zh-CN"/>
        </w:rPr>
        <w:t>:</w:t>
      </w:r>
      <w:r>
        <w:rPr>
          <w:rFonts w:hint="default" w:ascii="Times New Roman" w:hAnsi="Times New Roman" w:cs="Times New Roman"/>
          <w:b/>
          <w:bCs/>
        </w:rPr>
        <w:t xml:space="preserve"> </w:t>
      </w:r>
      <w:r>
        <w:rPr>
          <w:rFonts w:hint="default" w:ascii="Times New Roman" w:hAnsi="Times New Roman" w:cs="Times New Roman" w:eastAsiaTheme="minorEastAsia"/>
          <w:b/>
          <w:bCs/>
          <w:color w:val="000000" w:themeColor="text1"/>
          <w:szCs w:val="24"/>
          <w:lang w:eastAsia="zh-CN"/>
        </w:rPr>
        <w:t>Distribute the HST CA test cases into different SCS combinations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1"/>
        <w:gridCol w:w="1680"/>
        <w:gridCol w:w="1310"/>
        <w:gridCol w:w="1305"/>
        <w:gridCol w:w="676"/>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1" w:type="dxa"/>
            <w:gridSpan w:val="3"/>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UE capability</w:t>
            </w:r>
          </w:p>
        </w:tc>
        <w:tc>
          <w:tcPr>
            <w:tcW w:w="3286" w:type="dxa"/>
            <w:gridSpan w:val="3"/>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Cases to be tested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demodulationEnhancement-r16</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more than 1 SCS configurations</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more than 1 CC can track 2 active TCI states</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FDD 15 + TDD 30</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TDD 30 + TDD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or</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SFN and DPS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x</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and</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or</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68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1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or </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c>
          <w:tcPr>
            <w:tcW w:w="676"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and</w:t>
            </w:r>
          </w:p>
        </w:tc>
        <w:tc>
          <w:tcPr>
            <w:tcW w:w="130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eastAsia="Yu Mincho" w:cs="Times New Roman"/>
                <w:b/>
                <w:bCs/>
                <w:sz w:val="18"/>
                <w:lang w:val="en-US" w:eastAsia="zh-CN"/>
              </w:rPr>
            </w:pPr>
            <w:r>
              <w:rPr>
                <w:rFonts w:hint="eastAsia" w:eastAsia="Yu Mincho" w:cs="Times New Roman"/>
                <w:b/>
                <w:bCs/>
                <w:sz w:val="18"/>
                <w:lang w:val="en-US" w:eastAsia="zh-CN"/>
              </w:rPr>
              <w:t xml:space="preserve">Declare for </w:t>
            </w:r>
            <w:r>
              <w:rPr>
                <w:rFonts w:hint="default" w:ascii="Times New Roman" w:hAnsi="Times New Roman" w:eastAsia="Yu Mincho" w:cs="Times New Roman"/>
                <w:b/>
                <w:bCs/>
                <w:sz w:val="18"/>
                <w:lang w:val="en-US" w:eastAsia="zh-CN"/>
              </w:rPr>
              <w:t>SFN</w:t>
            </w:r>
            <w:r>
              <w:rPr>
                <w:rFonts w:hint="eastAsia" w:eastAsia="Yu Mincho" w:cs="Times New Roman"/>
                <w:b/>
                <w:bCs/>
                <w:sz w:val="18"/>
                <w:lang w:val="en-US" w:eastAsia="zh-CN"/>
              </w:rPr>
              <w:t xml:space="preserve"> or </w:t>
            </w:r>
          </w:p>
          <w:p>
            <w:pPr>
              <w:keepNext w:val="0"/>
              <w:keepLines w:val="0"/>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Yu Mincho" w:cs="Times New Roman"/>
                <w:b/>
                <w:bCs/>
                <w:sz w:val="18"/>
                <w:lang w:val="en-US" w:eastAsia="zh-CN"/>
              </w:rPr>
            </w:pPr>
            <w:r>
              <w:rPr>
                <w:rFonts w:hint="default" w:ascii="Times New Roman" w:hAnsi="Times New Roman" w:eastAsia="Yu Mincho" w:cs="Times New Roman"/>
                <w:b/>
                <w:bCs/>
                <w:sz w:val="18"/>
                <w:lang w:val="en-US" w:eastAsia="zh-CN"/>
              </w:rPr>
              <w:t>DPS 1b</w:t>
            </w:r>
          </w:p>
        </w:tc>
      </w:tr>
    </w:tbl>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introduce UE capability for HST CA and the granularity is per band combination</w:t>
      </w:r>
      <w:r>
        <w:rPr>
          <w:rFonts w:ascii="Times New Roman" w:hAnsi="Times New Roman"/>
          <w:b/>
          <w:kern w:val="0"/>
          <w:sz w:val="20"/>
          <w:szCs w:val="20"/>
        </w:rPr>
        <w:t>.</w:t>
      </w:r>
    </w:p>
    <w:p>
      <w:pPr>
        <w:pStyle w:val="29"/>
        <w:suppressAutoHyphens/>
        <w:ind w:firstLine="0" w:firstLineChars="0"/>
        <w:rPr>
          <w:b/>
          <w:szCs w:val="20"/>
          <w:lang w:eastAsia="zh-CN"/>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3</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support option 1 or option 4 for release independent feature</w:t>
      </w:r>
      <w:r>
        <w:rPr>
          <w:rFonts w:ascii="Times New Roman" w:hAnsi="Times New Roman"/>
          <w:b/>
          <w:kern w:val="0"/>
          <w:sz w:val="20"/>
          <w:szCs w:val="20"/>
        </w:rPr>
        <w:t>.</w:t>
      </w: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R4-2115724 WF on demodulation for FR1 HST_v05_after GTW</w:t>
      </w:r>
    </w:p>
    <w:p>
      <w:pPr>
        <w:pStyle w:val="9"/>
        <w:rPr>
          <w:sz w:val="20"/>
          <w:szCs w:val="20"/>
        </w:rPr>
      </w:pPr>
      <w:r>
        <w:rPr>
          <w:rFonts w:hint="eastAsia"/>
          <w:sz w:val="20"/>
          <w:szCs w:val="20"/>
        </w:rPr>
        <w:t>R4-2113192 Discussion on PDSCH requirements for CA scenarios</w:t>
      </w:r>
    </w:p>
    <w:p>
      <w:pPr>
        <w:rPr>
          <w:sz w:val="20"/>
          <w:szCs w:val="20"/>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70C8"/>
    <w:multiLevelType w:val="multilevel"/>
    <w:tmpl w:val="091E70C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50D4FEB"/>
    <w:multiLevelType w:val="multilevel"/>
    <w:tmpl w:val="150D4FE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5E53FC4"/>
    <w:multiLevelType w:val="multilevel"/>
    <w:tmpl w:val="65E53FC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626E3D"/>
    <w:rsid w:val="0298367A"/>
    <w:rsid w:val="02D254EC"/>
    <w:rsid w:val="02F72239"/>
    <w:rsid w:val="02FE5F82"/>
    <w:rsid w:val="032D5AEE"/>
    <w:rsid w:val="03A05508"/>
    <w:rsid w:val="03AB67DC"/>
    <w:rsid w:val="03C77456"/>
    <w:rsid w:val="043D2559"/>
    <w:rsid w:val="0478015E"/>
    <w:rsid w:val="0526729B"/>
    <w:rsid w:val="05510DD1"/>
    <w:rsid w:val="062A620F"/>
    <w:rsid w:val="064B00B0"/>
    <w:rsid w:val="06654A0B"/>
    <w:rsid w:val="06823D8F"/>
    <w:rsid w:val="07622262"/>
    <w:rsid w:val="07CD3CDD"/>
    <w:rsid w:val="09294F7D"/>
    <w:rsid w:val="09674661"/>
    <w:rsid w:val="097E672F"/>
    <w:rsid w:val="09825F02"/>
    <w:rsid w:val="09AB6C45"/>
    <w:rsid w:val="09E20449"/>
    <w:rsid w:val="0A2802DC"/>
    <w:rsid w:val="0A731B50"/>
    <w:rsid w:val="0B802D0D"/>
    <w:rsid w:val="0BC176FB"/>
    <w:rsid w:val="0BF41031"/>
    <w:rsid w:val="0C953742"/>
    <w:rsid w:val="0CA242EA"/>
    <w:rsid w:val="0D304050"/>
    <w:rsid w:val="0D613BA3"/>
    <w:rsid w:val="0D744565"/>
    <w:rsid w:val="0D7F564D"/>
    <w:rsid w:val="0D835665"/>
    <w:rsid w:val="0DE052FE"/>
    <w:rsid w:val="0E3330D0"/>
    <w:rsid w:val="0E3D7F8E"/>
    <w:rsid w:val="0ECE66B5"/>
    <w:rsid w:val="0F11785B"/>
    <w:rsid w:val="0F372967"/>
    <w:rsid w:val="0FDA7DDA"/>
    <w:rsid w:val="0FFA1150"/>
    <w:rsid w:val="112D72C6"/>
    <w:rsid w:val="11A50508"/>
    <w:rsid w:val="120639A8"/>
    <w:rsid w:val="125D4125"/>
    <w:rsid w:val="12AE4121"/>
    <w:rsid w:val="13583391"/>
    <w:rsid w:val="137F4008"/>
    <w:rsid w:val="13F672DD"/>
    <w:rsid w:val="140C5848"/>
    <w:rsid w:val="141B497D"/>
    <w:rsid w:val="144E5CD4"/>
    <w:rsid w:val="15220493"/>
    <w:rsid w:val="158F210D"/>
    <w:rsid w:val="15E12A88"/>
    <w:rsid w:val="15E95672"/>
    <w:rsid w:val="16271D63"/>
    <w:rsid w:val="16BD2FB9"/>
    <w:rsid w:val="16E7731D"/>
    <w:rsid w:val="179855D1"/>
    <w:rsid w:val="19607D81"/>
    <w:rsid w:val="199503FD"/>
    <w:rsid w:val="19AF5CF6"/>
    <w:rsid w:val="1AA54D0B"/>
    <w:rsid w:val="1B870B5B"/>
    <w:rsid w:val="1C3672FA"/>
    <w:rsid w:val="1C3A751E"/>
    <w:rsid w:val="1C5D00DA"/>
    <w:rsid w:val="1C7D0C1A"/>
    <w:rsid w:val="1C7E2DD6"/>
    <w:rsid w:val="1CAD4CCB"/>
    <w:rsid w:val="1D186F9D"/>
    <w:rsid w:val="1DA251E1"/>
    <w:rsid w:val="1DA93704"/>
    <w:rsid w:val="1F295D72"/>
    <w:rsid w:val="1F4325C8"/>
    <w:rsid w:val="1F595BBB"/>
    <w:rsid w:val="1F7C7957"/>
    <w:rsid w:val="1FD21E35"/>
    <w:rsid w:val="1FD96681"/>
    <w:rsid w:val="1FE10390"/>
    <w:rsid w:val="1FEE7A9C"/>
    <w:rsid w:val="200E58BD"/>
    <w:rsid w:val="205164A7"/>
    <w:rsid w:val="2090238B"/>
    <w:rsid w:val="20BA6502"/>
    <w:rsid w:val="216D7544"/>
    <w:rsid w:val="21B80AA5"/>
    <w:rsid w:val="221703FC"/>
    <w:rsid w:val="225216B5"/>
    <w:rsid w:val="22B37446"/>
    <w:rsid w:val="235408E6"/>
    <w:rsid w:val="23FD5BE3"/>
    <w:rsid w:val="24386853"/>
    <w:rsid w:val="24715F69"/>
    <w:rsid w:val="24B140D4"/>
    <w:rsid w:val="24C569C9"/>
    <w:rsid w:val="24F907DC"/>
    <w:rsid w:val="250D35C2"/>
    <w:rsid w:val="252A03F9"/>
    <w:rsid w:val="25EF43C8"/>
    <w:rsid w:val="262E08BF"/>
    <w:rsid w:val="263951B2"/>
    <w:rsid w:val="263E55AD"/>
    <w:rsid w:val="264B37D3"/>
    <w:rsid w:val="27930B1B"/>
    <w:rsid w:val="283146AB"/>
    <w:rsid w:val="288C6204"/>
    <w:rsid w:val="28A96A0F"/>
    <w:rsid w:val="28EE7A07"/>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80477B"/>
    <w:rsid w:val="2CA73FE3"/>
    <w:rsid w:val="2CD46AFB"/>
    <w:rsid w:val="2CE15438"/>
    <w:rsid w:val="2D812190"/>
    <w:rsid w:val="2DA94150"/>
    <w:rsid w:val="2E1176AC"/>
    <w:rsid w:val="2ECB7AE0"/>
    <w:rsid w:val="2F0E5D72"/>
    <w:rsid w:val="2F235269"/>
    <w:rsid w:val="2F322289"/>
    <w:rsid w:val="2F4B1C2D"/>
    <w:rsid w:val="30571C73"/>
    <w:rsid w:val="30F00E79"/>
    <w:rsid w:val="313A0372"/>
    <w:rsid w:val="316C26E3"/>
    <w:rsid w:val="31B6217A"/>
    <w:rsid w:val="31BF0BD6"/>
    <w:rsid w:val="32305666"/>
    <w:rsid w:val="328D4D87"/>
    <w:rsid w:val="32EC2013"/>
    <w:rsid w:val="33021368"/>
    <w:rsid w:val="33133DBA"/>
    <w:rsid w:val="33491F36"/>
    <w:rsid w:val="33883009"/>
    <w:rsid w:val="346C2BDC"/>
    <w:rsid w:val="34EA3595"/>
    <w:rsid w:val="34F31159"/>
    <w:rsid w:val="35684E72"/>
    <w:rsid w:val="35D34EB8"/>
    <w:rsid w:val="361A0DD1"/>
    <w:rsid w:val="363A75C1"/>
    <w:rsid w:val="36950F43"/>
    <w:rsid w:val="36F13745"/>
    <w:rsid w:val="37235D83"/>
    <w:rsid w:val="386C1CFB"/>
    <w:rsid w:val="388C38C8"/>
    <w:rsid w:val="388E6306"/>
    <w:rsid w:val="3891144C"/>
    <w:rsid w:val="38E40513"/>
    <w:rsid w:val="393853EE"/>
    <w:rsid w:val="39474FFC"/>
    <w:rsid w:val="39A12E64"/>
    <w:rsid w:val="39E551C2"/>
    <w:rsid w:val="3A985F9F"/>
    <w:rsid w:val="3ACA79CB"/>
    <w:rsid w:val="3ACD696C"/>
    <w:rsid w:val="3B1D04C9"/>
    <w:rsid w:val="3B564493"/>
    <w:rsid w:val="3B68666D"/>
    <w:rsid w:val="3B924465"/>
    <w:rsid w:val="3BA94452"/>
    <w:rsid w:val="3C8B2EA4"/>
    <w:rsid w:val="3CC85F33"/>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585042"/>
    <w:rsid w:val="40705D5D"/>
    <w:rsid w:val="40C765F3"/>
    <w:rsid w:val="41071BAC"/>
    <w:rsid w:val="41256FB7"/>
    <w:rsid w:val="42C843A0"/>
    <w:rsid w:val="42F20CDD"/>
    <w:rsid w:val="43776349"/>
    <w:rsid w:val="43A46A86"/>
    <w:rsid w:val="43EE5166"/>
    <w:rsid w:val="44914EE5"/>
    <w:rsid w:val="44B2766E"/>
    <w:rsid w:val="44C82F04"/>
    <w:rsid w:val="45834801"/>
    <w:rsid w:val="458F4D24"/>
    <w:rsid w:val="459C5BD8"/>
    <w:rsid w:val="45B01F58"/>
    <w:rsid w:val="45ED56E7"/>
    <w:rsid w:val="45F60A50"/>
    <w:rsid w:val="465B1E86"/>
    <w:rsid w:val="46C6208F"/>
    <w:rsid w:val="482C6CD1"/>
    <w:rsid w:val="4853345A"/>
    <w:rsid w:val="48534E09"/>
    <w:rsid w:val="48845C84"/>
    <w:rsid w:val="489C44D3"/>
    <w:rsid w:val="48F82FC3"/>
    <w:rsid w:val="490D3059"/>
    <w:rsid w:val="49500FEB"/>
    <w:rsid w:val="4982678C"/>
    <w:rsid w:val="49F32E1B"/>
    <w:rsid w:val="49FF1C1E"/>
    <w:rsid w:val="4A0B7057"/>
    <w:rsid w:val="4A280667"/>
    <w:rsid w:val="4A511B6E"/>
    <w:rsid w:val="4A7340A7"/>
    <w:rsid w:val="4A7C4548"/>
    <w:rsid w:val="4B1875B9"/>
    <w:rsid w:val="4B5B5B93"/>
    <w:rsid w:val="4B901389"/>
    <w:rsid w:val="4C2C30BE"/>
    <w:rsid w:val="4C3A2A9D"/>
    <w:rsid w:val="4C5D2EB7"/>
    <w:rsid w:val="4C8D7B0E"/>
    <w:rsid w:val="4CBF03D6"/>
    <w:rsid w:val="4D014AEF"/>
    <w:rsid w:val="4D513299"/>
    <w:rsid w:val="4DA22392"/>
    <w:rsid w:val="4DBE5704"/>
    <w:rsid w:val="4E9A7FF9"/>
    <w:rsid w:val="4EDF702E"/>
    <w:rsid w:val="4EF148C1"/>
    <w:rsid w:val="4F047884"/>
    <w:rsid w:val="4F813AF7"/>
    <w:rsid w:val="4FBD6EC5"/>
    <w:rsid w:val="4FBF1AB2"/>
    <w:rsid w:val="504E5AC6"/>
    <w:rsid w:val="505076EF"/>
    <w:rsid w:val="505F3BD5"/>
    <w:rsid w:val="508A0B34"/>
    <w:rsid w:val="513C5648"/>
    <w:rsid w:val="51736098"/>
    <w:rsid w:val="51B14BED"/>
    <w:rsid w:val="51EE252C"/>
    <w:rsid w:val="51FA3D86"/>
    <w:rsid w:val="52022698"/>
    <w:rsid w:val="526965AA"/>
    <w:rsid w:val="531E2281"/>
    <w:rsid w:val="54175BE1"/>
    <w:rsid w:val="5445166E"/>
    <w:rsid w:val="54632332"/>
    <w:rsid w:val="54944CE7"/>
    <w:rsid w:val="55436523"/>
    <w:rsid w:val="55CA20E9"/>
    <w:rsid w:val="55ED23C7"/>
    <w:rsid w:val="563C5184"/>
    <w:rsid w:val="565631F5"/>
    <w:rsid w:val="56C44CD3"/>
    <w:rsid w:val="581B09AF"/>
    <w:rsid w:val="582E227B"/>
    <w:rsid w:val="58983966"/>
    <w:rsid w:val="589E3B99"/>
    <w:rsid w:val="589F3533"/>
    <w:rsid w:val="593261D2"/>
    <w:rsid w:val="59423730"/>
    <w:rsid w:val="595A6E9E"/>
    <w:rsid w:val="5A8F1C82"/>
    <w:rsid w:val="5AA04D8D"/>
    <w:rsid w:val="5AFF5DE6"/>
    <w:rsid w:val="5B4026E8"/>
    <w:rsid w:val="5B482E24"/>
    <w:rsid w:val="5C9A4DB7"/>
    <w:rsid w:val="5D1A39EE"/>
    <w:rsid w:val="5D5C7688"/>
    <w:rsid w:val="5E224225"/>
    <w:rsid w:val="5E2732CD"/>
    <w:rsid w:val="5E336F39"/>
    <w:rsid w:val="60205F90"/>
    <w:rsid w:val="608E2F6C"/>
    <w:rsid w:val="60EC3C37"/>
    <w:rsid w:val="61A058F7"/>
    <w:rsid w:val="62082A4E"/>
    <w:rsid w:val="62D53BF4"/>
    <w:rsid w:val="63483DC6"/>
    <w:rsid w:val="63610183"/>
    <w:rsid w:val="637947A5"/>
    <w:rsid w:val="63D0005D"/>
    <w:rsid w:val="64133848"/>
    <w:rsid w:val="64B7605C"/>
    <w:rsid w:val="652B096E"/>
    <w:rsid w:val="658B678B"/>
    <w:rsid w:val="65E73B66"/>
    <w:rsid w:val="66131984"/>
    <w:rsid w:val="66E16576"/>
    <w:rsid w:val="66E33C2D"/>
    <w:rsid w:val="67427945"/>
    <w:rsid w:val="68233C28"/>
    <w:rsid w:val="6906197A"/>
    <w:rsid w:val="692A17F3"/>
    <w:rsid w:val="69C27972"/>
    <w:rsid w:val="6A2E4954"/>
    <w:rsid w:val="6A6E396D"/>
    <w:rsid w:val="6AC9421D"/>
    <w:rsid w:val="6AD94F47"/>
    <w:rsid w:val="6C4C2667"/>
    <w:rsid w:val="6CDA49A3"/>
    <w:rsid w:val="6CF36133"/>
    <w:rsid w:val="6D2C0194"/>
    <w:rsid w:val="6DD1076A"/>
    <w:rsid w:val="6DDE3DAF"/>
    <w:rsid w:val="6E1735DC"/>
    <w:rsid w:val="6E2211D6"/>
    <w:rsid w:val="70E13200"/>
    <w:rsid w:val="714420CD"/>
    <w:rsid w:val="715F4C2D"/>
    <w:rsid w:val="724530CF"/>
    <w:rsid w:val="72CB7F46"/>
    <w:rsid w:val="73121CB7"/>
    <w:rsid w:val="745C121D"/>
    <w:rsid w:val="755C4C37"/>
    <w:rsid w:val="761A2E8D"/>
    <w:rsid w:val="768D7CD7"/>
    <w:rsid w:val="774D1291"/>
    <w:rsid w:val="776C25E5"/>
    <w:rsid w:val="776C3E9D"/>
    <w:rsid w:val="77B7237F"/>
    <w:rsid w:val="78271104"/>
    <w:rsid w:val="784B7472"/>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963B24"/>
    <w:rsid w:val="7D4C1C46"/>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996</Words>
  <Characters>5682</Characters>
  <Lines>47</Lines>
  <Paragraphs>13</Paragraphs>
  <TotalTime>0</TotalTime>
  <ScaleCrop>false</ScaleCrop>
  <LinksUpToDate>false</LinksUpToDate>
  <CharactersWithSpaces>6665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2021-10-22T10:10:02Z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